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65F" w:rsidRPr="00BE665F" w:rsidRDefault="00BE665F" w:rsidP="00BE665F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17"/>
          <w:szCs w:val="17"/>
        </w:rPr>
      </w:pPr>
      <w:r w:rsidRPr="00BE665F">
        <w:rPr>
          <w:rFonts w:ascii="宋体" w:eastAsia="宋体" w:hAnsi="宋体" w:cs="宋体" w:hint="eastAsia"/>
          <w:b/>
          <w:bCs/>
          <w:color w:val="000000"/>
          <w:kern w:val="0"/>
          <w:sz w:val="17"/>
          <w:szCs w:val="17"/>
        </w:rPr>
        <w:t>烟台大学法学院2018年人才招聘公告</w:t>
      </w:r>
    </w:p>
    <w:p w:rsidR="00083741" w:rsidRDefault="00BE665F" w:rsidP="00E711FA">
      <w:pPr>
        <w:widowControl/>
        <w:ind w:firstLine="504"/>
        <w:jc w:val="left"/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</w:pP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烟台大学东临黄海，西依青山，风景秀丽，气候宜人，是中国距海最近、拥有海岸线最长的滨海大学，是山东省属重点综合性大学，山东省名校工程首批立项建设单位。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br/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 xml:space="preserve"> 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 xml:space="preserve"> 烟台大学法学院于1984年由北京大学法律系直接援助创建，</w:t>
      </w:r>
      <w:r w:rsidR="00E711FA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是我国较早设立的法学院系之一。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经过三十余年的稳健发展，现已形成了“层次丰富、中外结合”的办学格局。法学院现设有法学、知识产权两个本科专业和一个中美合作办学（法学）专业方向，拥有法学硕士学位一级授权学科和法律硕士专业学位授权类别，涵盖12个硕士招生专业。2012年法学院获批教育部首批应用型、复合型卓越法律人才教育培养基地，2013年法学专业获批教育部“本科专业综合改革试点”项目并入选山东省名校工程试点专业。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br/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 xml:space="preserve"> 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 xml:space="preserve"> 法学院现有教职员工62人，其中教授20人，副教授14人，博士生导师5人，硕士生导师34人。国家级教学名师1人，国家“万人计划”哲学社会科学领军人才1人，省级教学名师3人，享受国务院津贴的教师4人，山东省有突出贡献的中青年专家4人，山东省十大优秀法学家3人；有2位教师先后担任教育部法学教学指导委员会委员，有两位教授荣获山东省社会科学突出贡献奖。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br/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 xml:space="preserve"> 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 xml:space="preserve"> 由我国著名民法学家郭明瑞、房绍坤领衔的民商法重点学科，在“九五”期间被评为山东省唯一的法学类重点学科，“十五”以来被连续确定为省级强化建设的重点学科、泰山学者设岗学科。依托民商法重点学科先后成立山东省知识产权研究院、山东省知识产权软科学研究基地、国家知识产权培训（山东）基地、山东省版权教学科研示范基地。多学科力量整合建设的综合性学科平台——“应用法学研究中心”，连续确定为“十一五”、“十二五”、“十三五”山东省强化建设的高校人文社会科学研究基地。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br/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 xml:space="preserve"> 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 xml:space="preserve"> 作为“法治山东”和“山东半岛蓝色经济区”建设的重要智库，烟台大学法学院先后被省市人大常委会、省委宣传部列为首批“地方立法研究基地”、“理论建设工程重点研究基地”。烟大法学院坚持内外结合的发展道路，已与海外20余所法律院系签署了全面合作协议。</w:t>
      </w:r>
    </w:p>
    <w:p w:rsidR="00BE665F" w:rsidRPr="00BE665F" w:rsidRDefault="00083741" w:rsidP="00E711FA">
      <w:pPr>
        <w:widowControl/>
        <w:ind w:firstLine="504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法学院学术氛围浓厚，管理民主，</w:t>
      </w:r>
      <w:r w:rsidR="00CE170C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引进待遇优越，</w:t>
      </w:r>
      <w:r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十分有利于青年人才的成长</w:t>
      </w:r>
      <w:r w:rsidR="0033499C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和发展</w:t>
      </w:r>
      <w:r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。</w:t>
      </w:r>
      <w:r w:rsidR="00BE665F"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br/>
      </w:r>
      <w:r w:rsidR="00BE665F"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  <w:r w:rsidR="00BE665F"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 xml:space="preserve"> </w:t>
      </w:r>
      <w:r w:rsidR="00BE665F"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  <w:r w:rsidR="00BE665F"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 xml:space="preserve"> 2018年，烟台大学法学院面向海内外杰出法律人招纳贤才。</w:t>
      </w:r>
      <w:r w:rsidR="00BE665F"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br/>
      </w:r>
      <w:r w:rsidR="00BE665F" w:rsidRPr="00BE665F">
        <w:rPr>
          <w:rFonts w:ascii="仿宋_GB2312" w:eastAsia="仿宋_GB2312" w:hAnsi="宋体" w:cs="宋体" w:hint="eastAsia"/>
          <w:b/>
          <w:bCs/>
          <w:color w:val="000000"/>
          <w:kern w:val="0"/>
          <w:sz w:val="17"/>
        </w:rPr>
        <w:t>一.全职引进人才计划</w:t>
      </w:r>
    </w:p>
    <w:tbl>
      <w:tblPr>
        <w:tblW w:w="664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2"/>
        <w:gridCol w:w="408"/>
        <w:gridCol w:w="396"/>
        <w:gridCol w:w="864"/>
        <w:gridCol w:w="756"/>
        <w:gridCol w:w="2640"/>
        <w:gridCol w:w="1092"/>
      </w:tblGrid>
      <w:tr w:rsidR="00BE665F" w:rsidRPr="00BE665F" w:rsidTr="00BE665F">
        <w:trPr>
          <w:trHeight w:val="72"/>
          <w:tblCellSpacing w:w="0" w:type="dxa"/>
        </w:trPr>
        <w:tc>
          <w:tcPr>
            <w:tcW w:w="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spacing w:line="7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招聘岗位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spacing w:line="7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招聘人数</w:t>
            </w:r>
          </w:p>
        </w:tc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spacing w:line="7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学位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spacing w:line="7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专业及研究方向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spacing w:line="7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职称要求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spacing w:line="7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要求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spacing w:line="7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教学科研要求</w:t>
            </w:r>
          </w:p>
        </w:tc>
      </w:tr>
      <w:tr w:rsidR="00BE665F" w:rsidRPr="00BE665F" w:rsidTr="00BE665F">
        <w:trPr>
          <w:trHeight w:val="1236"/>
          <w:tblCellSpacing w:w="0" w:type="dxa"/>
        </w:trPr>
        <w:tc>
          <w:tcPr>
            <w:tcW w:w="4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教学科研岗位</w:t>
            </w: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博士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民商法学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高级职称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学科带头人或学术骨干，符合烟台大学“152”人才工程第二、三层次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有突出的科研潜力；良好的团队合作意识；能承担专业课程教学；非高级职称（含副高）博士研究生招聘原则上年龄不超过35周岁。</w:t>
            </w:r>
          </w:p>
        </w:tc>
      </w:tr>
      <w:tr w:rsidR="00BE665F" w:rsidRPr="00BE665F" w:rsidTr="00BE665F">
        <w:trPr>
          <w:trHeight w:val="123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博士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刑事诉讼法学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不限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1.法学一级学科博士点高校博士；</w:t>
            </w: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br/>
              <w:t>2.发表1篇以上CSSCI核心期刊论文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BE665F" w:rsidRPr="00BE665F" w:rsidTr="00BE665F">
        <w:trPr>
          <w:trHeight w:val="123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博士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经济法学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不限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1. 法学一级学科博士点高校博士；</w:t>
            </w: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br/>
              <w:t>2.发表1篇以上CSSCI核心期刊论文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BE665F" w:rsidRPr="00BE665F" w:rsidTr="00BE665F">
        <w:trPr>
          <w:trHeight w:val="147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博士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 </w:t>
            </w: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br/>
              <w:t>宪法</w:t>
            </w: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br/>
              <w:t>行政法学</w:t>
            </w: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br/>
            </w: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 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不限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br/>
            </w: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1. 法学一级学科博士点高校博士；</w:t>
            </w: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br/>
              <w:t>2.发表1篇以上CSSCI核心期刊论文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BE665F" w:rsidRPr="00BE665F" w:rsidTr="00BE665F">
        <w:trPr>
          <w:trHeight w:val="123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博士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法理学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不限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1. 法学一级学科博士点高校博士；</w:t>
            </w: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br/>
              <w:t>2.发表1篇以上CSSCI核心期刊论文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BE665F" w:rsidRPr="00BE665F" w:rsidTr="00BE665F">
        <w:trPr>
          <w:trHeight w:val="184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博士</w:t>
            </w:r>
          </w:p>
        </w:tc>
        <w:tc>
          <w:tcPr>
            <w:tcW w:w="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知识产权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不限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在英美法系国家留学并取得博士学位；具有较高的英语水平，可以从事英美法双语教学；博士论文水平较高，并具有相当的学术实力及发展潜力。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65F" w:rsidRPr="00BE665F" w:rsidRDefault="00BE665F" w:rsidP="00BE66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</w:tbl>
    <w:p w:rsidR="00BE665F" w:rsidRPr="00BE665F" w:rsidRDefault="00BE665F" w:rsidP="00BE665F">
      <w:pPr>
        <w:widowControl/>
        <w:jc w:val="center"/>
        <w:rPr>
          <w:rFonts w:ascii="宋体" w:eastAsia="宋体" w:hAnsi="宋体" w:cs="宋体"/>
          <w:color w:val="000000"/>
          <w:kern w:val="0"/>
          <w:sz w:val="19"/>
          <w:szCs w:val="19"/>
        </w:rPr>
      </w:pP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</w:p>
    <w:p w:rsidR="005147C5" w:rsidRDefault="00BE665F" w:rsidP="00BE665F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</w:pP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  <w:r w:rsidRPr="00BE665F">
        <w:rPr>
          <w:rFonts w:ascii="仿宋_GB2312" w:eastAsia="仿宋_GB2312" w:hAnsi="宋体" w:cs="宋体" w:hint="eastAsia"/>
          <w:b/>
          <w:bCs/>
          <w:color w:val="000000"/>
          <w:kern w:val="0"/>
          <w:sz w:val="17"/>
        </w:rPr>
        <w:t>二.人才层次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br/>
      </w:r>
      <w:r w:rsidRPr="00BE665F">
        <w:rPr>
          <w:rFonts w:ascii="仿宋_GB2312" w:eastAsia="仿宋_GB2312" w:hAnsi="宋体" w:cs="宋体" w:hint="eastAsia"/>
          <w:b/>
          <w:bCs/>
          <w:color w:val="000000"/>
          <w:kern w:val="0"/>
          <w:sz w:val="17"/>
        </w:rPr>
        <w:t> </w:t>
      </w:r>
      <w:r w:rsidRPr="00BE665F">
        <w:rPr>
          <w:rFonts w:ascii="仿宋_GB2312" w:eastAsia="仿宋_GB2312" w:hAnsi="宋体" w:cs="宋体" w:hint="eastAsia"/>
          <w:b/>
          <w:bCs/>
          <w:color w:val="000000"/>
          <w:kern w:val="0"/>
          <w:sz w:val="17"/>
        </w:rPr>
        <w:t xml:space="preserve"> </w:t>
      </w:r>
      <w:r w:rsidRPr="00BE665F">
        <w:rPr>
          <w:rFonts w:ascii="仿宋_GB2312" w:eastAsia="仿宋_GB2312" w:hAnsi="宋体" w:cs="宋体" w:hint="eastAsia"/>
          <w:b/>
          <w:bCs/>
          <w:color w:val="000000"/>
          <w:kern w:val="0"/>
          <w:sz w:val="17"/>
        </w:rPr>
        <w:t> </w:t>
      </w:r>
      <w:r w:rsidRPr="00BE665F">
        <w:rPr>
          <w:rFonts w:ascii="仿宋_GB2312" w:eastAsia="仿宋_GB2312" w:hAnsi="宋体" w:cs="宋体" w:hint="eastAsia"/>
          <w:b/>
          <w:bCs/>
          <w:color w:val="000000"/>
          <w:kern w:val="0"/>
          <w:sz w:val="17"/>
        </w:rPr>
        <w:t xml:space="preserve"> （一）烟台大学“152”人才工程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br/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 xml:space="preserve"> 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</w:rPr>
        <w:t> </w:t>
      </w:r>
      <w:r w:rsidRPr="00BE665F">
        <w:rPr>
          <w:rFonts w:ascii="仿宋_GB2312" w:eastAsia="仿宋_GB2312" w:hAnsi="宋体" w:cs="宋体" w:hint="eastAsia"/>
          <w:b/>
          <w:bCs/>
          <w:color w:val="000000"/>
          <w:kern w:val="0"/>
          <w:sz w:val="17"/>
        </w:rPr>
        <w:t>1.第二层次：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近五年业绩成果符合下列5项条件中的2项，或某一项特别突出，或综合水平达到相应要求。年龄不超过55周岁，具有博士学位或高级职称。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br/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 xml:space="preserve"> 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 xml:space="preserve"> （1）在本学科专业领域作为首位在《中国社会科学》期刊发表学术论文1篇，或在人文社科类核心A类期刊（或SSCI）发表学术论文2篇或B类以上期刊发表4篇，或1部学术专著入选《国家哲学社会科学成果文库》。</w:t>
      </w:r>
    </w:p>
    <w:p w:rsidR="005147C5" w:rsidRDefault="00BE665F" w:rsidP="005147C5">
      <w:pPr>
        <w:widowControl/>
        <w:ind w:firstLine="492"/>
        <w:jc w:val="left"/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</w:pP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（</w:t>
      </w:r>
      <w:r w:rsidR="005147C5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2）主持并完成国家级教研、科研项目（含教育部重大招标项目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）1项。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br/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 xml:space="preserve"> 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 xml:space="preserve"> （</w:t>
      </w:r>
      <w:r w:rsidR="005147C5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3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）横向课题到账经费或科研成果转化经费工科</w:t>
      </w:r>
      <w:r w:rsidR="005147C5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1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00万元。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br/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 xml:space="preserve"> 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 xml:space="preserve"> （</w:t>
      </w:r>
      <w:r w:rsidR="005147C5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4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）获国家级教学、科研成果奖励（额定人员），或教育部科研优秀成果奖一、二、三等前3、2、1位人员，或其它省部级教学、科研成果奖励一、二等的前2、1位人员。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br/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 xml:space="preserve"> 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</w:rPr>
        <w:t> </w:t>
      </w:r>
      <w:r w:rsidRPr="00BE665F">
        <w:rPr>
          <w:rFonts w:ascii="仿宋_GB2312" w:eastAsia="仿宋_GB2312" w:hAnsi="宋体" w:cs="宋体" w:hint="eastAsia"/>
          <w:b/>
          <w:bCs/>
          <w:color w:val="000000"/>
          <w:kern w:val="0"/>
          <w:sz w:val="17"/>
        </w:rPr>
        <w:t>2.第三层次：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近五年业绩成果符合下列5项条件中的2项，或某一项特别突出，或综合水平达到相应要求。年龄不超过50周岁。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br/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 xml:space="preserve"> 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 xml:space="preserve"> （1）在本学科专业领域，在《中国社会科学》发表学术论文，或作为首位人员在人文社科类核心A类期刊（或SSCI）发表学术论文1篇或B类以上期刊发表学术论文2篇，或1部专著入选《国家哲学社会科学成果文库》（前三位）。</w:t>
      </w:r>
    </w:p>
    <w:p w:rsidR="00BE665F" w:rsidRPr="00BE665F" w:rsidRDefault="00BE665F" w:rsidP="005147C5">
      <w:pPr>
        <w:widowControl/>
        <w:ind w:firstLine="492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（</w:t>
      </w:r>
      <w:r w:rsidR="005147C5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2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）主持并完成教育部科研项目1项，或主持其它省部级教研、科研项目2项并完成1项。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br/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 xml:space="preserve"> 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 xml:space="preserve"> （</w:t>
      </w:r>
      <w:r w:rsidR="005147C5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3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）横向课题到账经费或科研成果转化经费理工科</w:t>
      </w:r>
      <w:r w:rsidR="005147C5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4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0万元。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br/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 xml:space="preserve"> 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 xml:space="preserve"> （</w:t>
      </w:r>
      <w:r w:rsidR="005147C5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4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）获教育部科研优秀成果奖的额定人员，或其它省部级教学、科研奖励一、二、三等的前3、2、1位人员。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br/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  <w:r w:rsidRPr="00BE665F">
        <w:rPr>
          <w:rFonts w:ascii="仿宋_GB2312" w:eastAsia="仿宋_GB2312" w:hAnsi="宋体" w:cs="宋体" w:hint="eastAsia"/>
          <w:b/>
          <w:bCs/>
          <w:color w:val="000000"/>
          <w:kern w:val="0"/>
          <w:sz w:val="17"/>
        </w:rPr>
        <w:t>（二）青年博士（年龄不超过35周岁）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br/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 xml:space="preserve"> 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</w:rPr>
        <w:t> </w:t>
      </w:r>
      <w:r w:rsidRPr="00BE665F">
        <w:rPr>
          <w:rFonts w:ascii="仿宋_GB2312" w:eastAsia="仿宋_GB2312" w:hAnsi="宋体" w:cs="宋体" w:hint="eastAsia"/>
          <w:b/>
          <w:bCs/>
          <w:color w:val="000000"/>
          <w:kern w:val="0"/>
          <w:sz w:val="17"/>
        </w:rPr>
        <w:t>1.第一层次: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全球TOP300高校博士毕业生，或获得中国博士后科学基金特别资助的青年学者，或与上述人员水平相当者，且达到较高学术水平。或近5年以第一作者（含导师为第一作者本人为第二作者）或通讯作者在本学科领域SCI、SSCI一区期刊或学校确定的A刊发表论文2篇或《中国社会科学》发表论文1篇；SCI、SSCI二区期刊或学校确定的AB刊发表论文4篇。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br/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 xml:space="preserve"> 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  <w:r w:rsidRPr="00BE665F">
        <w:rPr>
          <w:rFonts w:ascii="仿宋_GB2312" w:eastAsia="仿宋_GB2312" w:hAnsi="宋体" w:cs="宋体" w:hint="eastAsia"/>
          <w:b/>
          <w:bCs/>
          <w:color w:val="000000"/>
          <w:kern w:val="0"/>
          <w:sz w:val="17"/>
        </w:rPr>
        <w:t> </w:t>
      </w:r>
      <w:r w:rsidRPr="00BE665F">
        <w:rPr>
          <w:rFonts w:ascii="仿宋_GB2312" w:eastAsia="仿宋_GB2312" w:hAnsi="宋体" w:cs="宋体" w:hint="eastAsia"/>
          <w:b/>
          <w:bCs/>
          <w:color w:val="000000"/>
          <w:kern w:val="0"/>
          <w:sz w:val="17"/>
        </w:rPr>
        <w:t>2.第二层次: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海外著名高校（研究机构）从事教学科研工作2年以上的优秀博士；或近5年以第一作者（含导师为第一作者本人为第二作者）或通讯作者发表本学科领域SCI二区论文2篇或学校确定的B刊发表论文2篇或SCI三区、CSSCI全文收录4篇。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br/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 xml:space="preserve"> 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</w:rPr>
        <w:t> </w:t>
      </w:r>
      <w:r w:rsidRPr="00BE665F">
        <w:rPr>
          <w:rFonts w:ascii="仿宋_GB2312" w:eastAsia="仿宋_GB2312" w:hAnsi="宋体" w:cs="宋体" w:hint="eastAsia"/>
          <w:b/>
          <w:bCs/>
          <w:color w:val="000000"/>
          <w:kern w:val="0"/>
          <w:sz w:val="17"/>
        </w:rPr>
        <w:t>3.第三层次: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符合学校教学科研需要，具有较大发展潜力的优秀青年博士。第一学历应为全日制本科，且本科、硕士、博士和博士后阶段应有两个阶段是“985”（或国家一流大学）、“211”（或国家一流学科）工程重点建设大学（学科）或国家重点科研院所或国外相同水平大学（科研院所）或国内著名行业类高校的全日制毕业生或研究经历。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br/>
        <w:t>学校紧缺专业引进的博士研究生，学习经历等要求可适当放宽。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br/>
      </w:r>
      <w:r w:rsidRPr="00BE665F">
        <w:rPr>
          <w:rFonts w:ascii="仿宋_GB2312" w:eastAsia="仿宋_GB2312" w:hAnsi="宋体" w:cs="宋体" w:hint="eastAsia"/>
          <w:b/>
          <w:bCs/>
          <w:color w:val="000000"/>
          <w:kern w:val="0"/>
          <w:sz w:val="17"/>
        </w:rPr>
        <w:lastRenderedPageBreak/>
        <w:t>三.人才待遇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br/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 xml:space="preserve"> 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 xml:space="preserve"> 按照引进人才类别及层次，学校对全职引进的人才提供如下待遇：</w:t>
      </w:r>
    </w:p>
    <w:tbl>
      <w:tblPr>
        <w:tblW w:w="6816" w:type="dxa"/>
        <w:jc w:val="center"/>
        <w:tblCellSpacing w:w="0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2"/>
        <w:gridCol w:w="1058"/>
        <w:gridCol w:w="745"/>
        <w:gridCol w:w="745"/>
        <w:gridCol w:w="1214"/>
        <w:gridCol w:w="1406"/>
        <w:gridCol w:w="926"/>
      </w:tblGrid>
      <w:tr w:rsidR="00BE665F" w:rsidRPr="00BE665F" w:rsidTr="00BE665F">
        <w:trPr>
          <w:trHeight w:val="756"/>
          <w:tblCellSpacing w:w="0" w:type="dxa"/>
          <w:jc w:val="center"/>
        </w:trPr>
        <w:tc>
          <w:tcPr>
            <w:tcW w:w="720" w:type="dxa"/>
            <w:vMerge w:val="restart"/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7"/>
              </w:rPr>
              <w:t>类别</w:t>
            </w:r>
          </w:p>
        </w:tc>
        <w:tc>
          <w:tcPr>
            <w:tcW w:w="1056" w:type="dxa"/>
            <w:vMerge w:val="restart"/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7"/>
              </w:rPr>
              <w:t>层次</w:t>
            </w:r>
          </w:p>
        </w:tc>
        <w:tc>
          <w:tcPr>
            <w:tcW w:w="1488" w:type="dxa"/>
            <w:gridSpan w:val="2"/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7"/>
              </w:rPr>
              <w:t>科研启动费</w:t>
            </w: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br/>
            </w:r>
            <w:r w:rsidRPr="00BE665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7"/>
              </w:rPr>
              <w:t>（万元）</w:t>
            </w:r>
          </w:p>
        </w:tc>
        <w:tc>
          <w:tcPr>
            <w:tcW w:w="1212" w:type="dxa"/>
            <w:vMerge w:val="restart"/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7"/>
              </w:rPr>
              <w:t>人才津贴</w:t>
            </w: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br/>
            </w:r>
            <w:r w:rsidRPr="00BE665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7"/>
              </w:rPr>
              <w:t>（万元/年）</w:t>
            </w:r>
          </w:p>
        </w:tc>
        <w:tc>
          <w:tcPr>
            <w:tcW w:w="1404" w:type="dxa"/>
            <w:vMerge w:val="restart"/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7"/>
              </w:rPr>
              <w:t>安家费及购房补贴（万元）</w:t>
            </w:r>
          </w:p>
        </w:tc>
        <w:tc>
          <w:tcPr>
            <w:tcW w:w="924" w:type="dxa"/>
            <w:vMerge w:val="restart"/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7"/>
              </w:rPr>
              <w:t>实验室（团队）</w:t>
            </w: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br/>
            </w:r>
            <w:r w:rsidRPr="00BE665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7"/>
              </w:rPr>
              <w:t>建设经费</w:t>
            </w:r>
          </w:p>
        </w:tc>
      </w:tr>
      <w:tr w:rsidR="00BE665F" w:rsidRPr="00BE665F" w:rsidTr="00BE665F">
        <w:trPr>
          <w:trHeight w:val="924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BE665F" w:rsidRPr="00BE665F" w:rsidRDefault="00BE665F" w:rsidP="00BE66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E665F" w:rsidRPr="00BE665F" w:rsidRDefault="00BE665F" w:rsidP="00BE66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44" w:type="dxa"/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7"/>
              </w:rPr>
              <w:t>自然</w:t>
            </w: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br/>
            </w:r>
            <w:r w:rsidRPr="00BE665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7"/>
              </w:rPr>
              <w:t>科学</w:t>
            </w:r>
          </w:p>
        </w:tc>
        <w:tc>
          <w:tcPr>
            <w:tcW w:w="744" w:type="dxa"/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7"/>
              </w:rPr>
              <w:t>人文</w:t>
            </w: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br/>
            </w:r>
            <w:r w:rsidRPr="00BE665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7"/>
              </w:rPr>
              <w:t>社科</w:t>
            </w:r>
          </w:p>
        </w:tc>
        <w:tc>
          <w:tcPr>
            <w:tcW w:w="0" w:type="auto"/>
            <w:vMerge/>
            <w:vAlign w:val="center"/>
            <w:hideMark/>
          </w:tcPr>
          <w:p w:rsidR="00BE665F" w:rsidRPr="00BE665F" w:rsidRDefault="00BE665F" w:rsidP="00BE66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E665F" w:rsidRPr="00BE665F" w:rsidRDefault="00BE665F" w:rsidP="00BE66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E665F" w:rsidRPr="00BE665F" w:rsidRDefault="00BE665F" w:rsidP="00BE66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BE665F" w:rsidRPr="00BE665F" w:rsidTr="00BE665F">
        <w:trPr>
          <w:trHeight w:val="768"/>
          <w:tblCellSpacing w:w="0" w:type="dxa"/>
          <w:jc w:val="center"/>
        </w:trPr>
        <w:tc>
          <w:tcPr>
            <w:tcW w:w="720" w:type="dxa"/>
            <w:vMerge w:val="restart"/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7"/>
              </w:rPr>
              <w:t>“152”人才</w:t>
            </w:r>
          </w:p>
        </w:tc>
        <w:tc>
          <w:tcPr>
            <w:tcW w:w="1056" w:type="dxa"/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第二层次</w:t>
            </w: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 </w:t>
            </w:r>
          </w:p>
        </w:tc>
        <w:tc>
          <w:tcPr>
            <w:tcW w:w="744" w:type="dxa"/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 </w:t>
            </w:r>
          </w:p>
        </w:tc>
        <w:tc>
          <w:tcPr>
            <w:tcW w:w="744" w:type="dxa"/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 </w:t>
            </w:r>
          </w:p>
        </w:tc>
        <w:tc>
          <w:tcPr>
            <w:tcW w:w="1212" w:type="dxa"/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20</w:t>
            </w:r>
          </w:p>
        </w:tc>
        <w:tc>
          <w:tcPr>
            <w:tcW w:w="1404" w:type="dxa"/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 </w:t>
            </w:r>
          </w:p>
        </w:tc>
        <w:tc>
          <w:tcPr>
            <w:tcW w:w="924" w:type="dxa"/>
            <w:vMerge w:val="restart"/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根据工作需要提供相应的建设经费</w:t>
            </w:r>
          </w:p>
        </w:tc>
      </w:tr>
      <w:tr w:rsidR="00BE665F" w:rsidRPr="00BE665F" w:rsidTr="00BE665F">
        <w:trPr>
          <w:trHeight w:val="492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BE665F" w:rsidRPr="00BE665F" w:rsidRDefault="00BE665F" w:rsidP="00BE66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056" w:type="dxa"/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第三层次</w:t>
            </w:r>
          </w:p>
        </w:tc>
        <w:tc>
          <w:tcPr>
            <w:tcW w:w="744" w:type="dxa"/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 </w:t>
            </w:r>
          </w:p>
        </w:tc>
        <w:tc>
          <w:tcPr>
            <w:tcW w:w="744" w:type="dxa"/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 </w:t>
            </w:r>
          </w:p>
        </w:tc>
        <w:tc>
          <w:tcPr>
            <w:tcW w:w="1212" w:type="dxa"/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10</w:t>
            </w:r>
          </w:p>
        </w:tc>
        <w:tc>
          <w:tcPr>
            <w:tcW w:w="1404" w:type="dxa"/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BE665F" w:rsidRPr="00BE665F" w:rsidRDefault="00BE665F" w:rsidP="00BE66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BE665F" w:rsidRPr="00BE665F" w:rsidTr="00BE665F">
        <w:trPr>
          <w:trHeight w:val="384"/>
          <w:tblCellSpacing w:w="0" w:type="dxa"/>
          <w:jc w:val="center"/>
        </w:trPr>
        <w:tc>
          <w:tcPr>
            <w:tcW w:w="720" w:type="dxa"/>
            <w:vMerge w:val="restart"/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7"/>
              </w:rPr>
              <w:t>青年博士</w:t>
            </w:r>
          </w:p>
        </w:tc>
        <w:tc>
          <w:tcPr>
            <w:tcW w:w="1056" w:type="dxa"/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第一层次</w:t>
            </w:r>
          </w:p>
        </w:tc>
        <w:tc>
          <w:tcPr>
            <w:tcW w:w="744" w:type="dxa"/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 </w:t>
            </w:r>
          </w:p>
        </w:tc>
        <w:tc>
          <w:tcPr>
            <w:tcW w:w="744" w:type="dxa"/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8</w:t>
            </w:r>
          </w:p>
        </w:tc>
        <w:tc>
          <w:tcPr>
            <w:tcW w:w="1212" w:type="dxa"/>
            <w:vMerge w:val="restart"/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 </w:t>
            </w:r>
          </w:p>
        </w:tc>
        <w:tc>
          <w:tcPr>
            <w:tcW w:w="1404" w:type="dxa"/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55</w:t>
            </w:r>
          </w:p>
        </w:tc>
        <w:tc>
          <w:tcPr>
            <w:tcW w:w="924" w:type="dxa"/>
            <w:vMerge w:val="restart"/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 </w:t>
            </w:r>
          </w:p>
        </w:tc>
      </w:tr>
      <w:tr w:rsidR="00BE665F" w:rsidRPr="00BE665F" w:rsidTr="00BE665F">
        <w:trPr>
          <w:trHeight w:val="384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BE665F" w:rsidRPr="00BE665F" w:rsidRDefault="00BE665F" w:rsidP="00BE66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056" w:type="dxa"/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第二层次</w:t>
            </w:r>
          </w:p>
        </w:tc>
        <w:tc>
          <w:tcPr>
            <w:tcW w:w="744" w:type="dxa"/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 </w:t>
            </w:r>
          </w:p>
        </w:tc>
        <w:tc>
          <w:tcPr>
            <w:tcW w:w="744" w:type="dxa"/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BE665F" w:rsidRPr="00BE665F" w:rsidRDefault="00BE665F" w:rsidP="00BE66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404" w:type="dxa"/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45</w:t>
            </w:r>
          </w:p>
        </w:tc>
        <w:tc>
          <w:tcPr>
            <w:tcW w:w="0" w:type="auto"/>
            <w:vMerge/>
            <w:vAlign w:val="center"/>
            <w:hideMark/>
          </w:tcPr>
          <w:p w:rsidR="00BE665F" w:rsidRPr="00BE665F" w:rsidRDefault="00BE665F" w:rsidP="00BE66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BE665F" w:rsidRPr="00BE665F" w:rsidTr="00BE665F">
        <w:trPr>
          <w:trHeight w:val="384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BE665F" w:rsidRPr="00BE665F" w:rsidRDefault="00BE665F" w:rsidP="00BE66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056" w:type="dxa"/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第三层次</w:t>
            </w:r>
          </w:p>
        </w:tc>
        <w:tc>
          <w:tcPr>
            <w:tcW w:w="744" w:type="dxa"/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 </w:t>
            </w:r>
          </w:p>
        </w:tc>
        <w:tc>
          <w:tcPr>
            <w:tcW w:w="744" w:type="dxa"/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BE665F" w:rsidRPr="00BE665F" w:rsidRDefault="00BE665F" w:rsidP="00BE66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404" w:type="dxa"/>
            <w:vAlign w:val="center"/>
            <w:hideMark/>
          </w:tcPr>
          <w:p w:rsidR="00BE665F" w:rsidRPr="00BE665F" w:rsidRDefault="00BE665F" w:rsidP="00BE665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BE665F">
              <w:rPr>
                <w:rFonts w:ascii="仿宋_GB2312" w:eastAsia="仿宋_GB2312" w:hAnsi="宋体" w:cs="宋体" w:hint="eastAsia"/>
                <w:color w:val="000000"/>
                <w:kern w:val="0"/>
                <w:sz w:val="17"/>
                <w:szCs w:val="17"/>
              </w:rPr>
              <w:t>35</w:t>
            </w:r>
          </w:p>
        </w:tc>
        <w:tc>
          <w:tcPr>
            <w:tcW w:w="0" w:type="auto"/>
            <w:vMerge/>
            <w:vAlign w:val="center"/>
            <w:hideMark/>
          </w:tcPr>
          <w:p w:rsidR="00BE665F" w:rsidRPr="00BE665F" w:rsidRDefault="00BE665F" w:rsidP="00BE665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</w:tbl>
    <w:p w:rsidR="00BE665F" w:rsidRPr="00BE665F" w:rsidRDefault="00BE665F" w:rsidP="00BE665F">
      <w:pPr>
        <w:widowControl/>
        <w:jc w:val="left"/>
        <w:rPr>
          <w:rFonts w:ascii="宋体" w:eastAsia="宋体" w:hAnsi="宋体" w:cs="宋体"/>
          <w:color w:val="000000"/>
          <w:kern w:val="0"/>
          <w:sz w:val="19"/>
          <w:szCs w:val="19"/>
        </w:rPr>
      </w:pPr>
      <w:r w:rsidRPr="00BE665F">
        <w:rPr>
          <w:rFonts w:ascii="宋体" w:eastAsia="宋体" w:hAnsi="宋体" w:cs="宋体" w:hint="eastAsia"/>
          <w:color w:val="000000"/>
          <w:kern w:val="0"/>
          <w:sz w:val="19"/>
          <w:szCs w:val="19"/>
        </w:rPr>
        <w:t> </w:t>
      </w:r>
    </w:p>
    <w:p w:rsidR="00BE665F" w:rsidRDefault="00BE665F" w:rsidP="00BE665F">
      <w:pPr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</w:pP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br/>
      </w:r>
      <w:r w:rsidRPr="00BE665F">
        <w:rPr>
          <w:rFonts w:ascii="仿宋_GB2312" w:eastAsia="仿宋_GB2312" w:hAnsi="宋体" w:cs="宋体" w:hint="eastAsia"/>
          <w:b/>
          <w:bCs/>
          <w:color w:val="000000"/>
          <w:kern w:val="0"/>
          <w:sz w:val="17"/>
        </w:rPr>
        <w:t>四、其他事项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br/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 xml:space="preserve"> 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 xml:space="preserve"> 1.试讲人员须举行小型专题学术报告（40分钟）、面向本科生的试讲课程（30分钟）各一次。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br/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 xml:space="preserve"> 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 xml:space="preserve"> 2.我院对试讲人员承担单程路费，统一安排食宿。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br/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 xml:space="preserve"> 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 xml:space="preserve"> 3.有意者请将个人简历、代表性学术成果发送至联系人邮箱。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br/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 xml:space="preserve"> 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联系人：刘经靖</w:t>
      </w:r>
    </w:p>
    <w:p w:rsidR="008D542F" w:rsidRDefault="00BE665F" w:rsidP="00BE665F"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 xml:space="preserve"> 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 </w:t>
      </w:r>
      <w:r w:rsidRPr="00BE665F"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 xml:space="preserve"> Email：</w:t>
      </w:r>
      <w:r>
        <w:rPr>
          <w:rFonts w:ascii="仿宋_GB2312" w:eastAsia="仿宋_GB2312" w:hAnsi="宋体" w:cs="宋体" w:hint="eastAsia"/>
          <w:color w:val="000000"/>
          <w:kern w:val="0"/>
          <w:sz w:val="17"/>
          <w:szCs w:val="17"/>
        </w:rPr>
        <w:t>liu126126@126.com</w:t>
      </w:r>
    </w:p>
    <w:sectPr w:rsidR="008D542F" w:rsidSect="008D5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665F"/>
    <w:rsid w:val="00083741"/>
    <w:rsid w:val="0033499C"/>
    <w:rsid w:val="00424ECA"/>
    <w:rsid w:val="00440BE6"/>
    <w:rsid w:val="005147C5"/>
    <w:rsid w:val="008D542F"/>
    <w:rsid w:val="00A96EA4"/>
    <w:rsid w:val="00BE665F"/>
    <w:rsid w:val="00CE170C"/>
    <w:rsid w:val="00DC40A4"/>
    <w:rsid w:val="00E1782B"/>
    <w:rsid w:val="00E71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4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665F"/>
    <w:rPr>
      <w:b/>
      <w:bCs/>
    </w:rPr>
  </w:style>
  <w:style w:type="character" w:customStyle="1" w:styleId="apple-converted-space">
    <w:name w:val="apple-converted-space"/>
    <w:basedOn w:val="a0"/>
    <w:rsid w:val="00BE66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135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刘经靖</dc:creator>
  <cp:lastModifiedBy>刘经靖</cp:lastModifiedBy>
  <cp:revision>10</cp:revision>
  <dcterms:created xsi:type="dcterms:W3CDTF">2018-03-04T12:58:00Z</dcterms:created>
  <dcterms:modified xsi:type="dcterms:W3CDTF">2018-03-04T13:07:00Z</dcterms:modified>
</cp:coreProperties>
</file>